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58" w:rsidRDefault="006F6658" w:rsidP="006F6658">
      <w:pPr>
        <w:pStyle w:val="Heading4"/>
        <w:jc w:val="center"/>
        <w:rPr>
          <w:rFonts w:eastAsia="Times New Roman" w:cs="Times New Roman"/>
          <w:color w:val="000000"/>
          <w:sz w:val="27"/>
          <w:szCs w:val="27"/>
        </w:rPr>
      </w:pPr>
      <w:r>
        <w:rPr>
          <w:rFonts w:eastAsia="Times New Roman" w:cs="Times New Roman"/>
          <w:color w:val="000000"/>
        </w:rPr>
        <w:t>NATIONAL CONFERENCE OF INSURANCE LEGISLATORS</w:t>
      </w:r>
      <w:r>
        <w:rPr>
          <w:rStyle w:val="apple-converted-space"/>
          <w:rFonts w:eastAsia="Times New Roman" w:cs="Times New Roman"/>
          <w:color w:val="000000"/>
        </w:rPr>
        <w:t> </w:t>
      </w:r>
      <w:r>
        <w:rPr>
          <w:rFonts w:eastAsia="Times New Roman" w:cs="Times New Roman"/>
          <w:color w:val="000000"/>
        </w:rPr>
        <w:br/>
        <w:t>SPRING MEETING REPORT</w:t>
      </w:r>
      <w:r>
        <w:rPr>
          <w:rStyle w:val="apple-converted-space"/>
          <w:rFonts w:eastAsia="Times New Roman" w:cs="Times New Roman"/>
          <w:color w:val="000000"/>
        </w:rPr>
        <w:t> </w:t>
      </w:r>
      <w:r>
        <w:rPr>
          <w:rFonts w:eastAsia="Times New Roman" w:cs="Times New Roman"/>
          <w:color w:val="000000"/>
        </w:rPr>
        <w:br/>
        <w:t>HILTON HEAD ISLAND, SOUTH CAROLINA</w:t>
      </w:r>
      <w:r>
        <w:rPr>
          <w:rStyle w:val="apple-converted-space"/>
          <w:rFonts w:eastAsia="Times New Roman" w:cs="Times New Roman"/>
          <w:color w:val="000000"/>
        </w:rPr>
        <w:t> </w:t>
      </w:r>
      <w:r>
        <w:rPr>
          <w:rFonts w:eastAsia="Times New Roman" w:cs="Times New Roman"/>
          <w:color w:val="000000"/>
        </w:rPr>
        <w:br/>
        <w:t>MARCH 1 - 4, 2001</w:t>
      </w:r>
    </w:p>
    <w:p w:rsidR="006F6658" w:rsidRDefault="006F6658" w:rsidP="006F6658">
      <w:pPr>
        <w:spacing w:before="100" w:beforeAutospacing="1" w:after="100" w:afterAutospacing="1"/>
        <w:rPr>
          <w:rFonts w:cs="Times New Roman"/>
          <w:color w:val="000000"/>
          <w:sz w:val="27"/>
          <w:szCs w:val="27"/>
        </w:rPr>
      </w:pPr>
      <w:r>
        <w:rPr>
          <w:rFonts w:cs="Times New Roman"/>
          <w:b/>
          <w:bCs/>
          <w:color w:val="000000"/>
        </w:rPr>
        <w:t>                       </w:t>
      </w:r>
      <w:r>
        <w:rPr>
          <w:rStyle w:val="apple-converted-space"/>
          <w:rFonts w:cs="Times New Roman"/>
          <w:b/>
          <w:bCs/>
          <w:color w:val="000000"/>
        </w:rPr>
        <w:t> </w:t>
      </w:r>
      <w:r>
        <w:rPr>
          <w:rFonts w:cs="Times New Roman"/>
          <w:b/>
          <w:bCs/>
          <w:color w:val="000000"/>
        </w:rPr>
        <w:t>                                             </w:t>
      </w:r>
      <w:r>
        <w:rPr>
          <w:rStyle w:val="apple-converted-space"/>
          <w:rFonts w:cs="Times New Roman"/>
          <w:b/>
          <w:bCs/>
          <w:color w:val="000000"/>
        </w:rPr>
        <w:t> </w:t>
      </w:r>
      <w:r>
        <w:rPr>
          <w:rFonts w:cs="Times New Roman"/>
          <w:color w:val="000000"/>
        </w:rPr>
        <w:t>                                                                      </w:t>
      </w:r>
      <w:r>
        <w:rPr>
          <w:rStyle w:val="apple-converted-space"/>
          <w:rFonts w:cs="Times New Roman"/>
          <w:color w:val="000000"/>
        </w:rPr>
        <w:t> </w:t>
      </w:r>
      <w:r>
        <w:rPr>
          <w:rFonts w:cs="Times New Roman"/>
          <w:color w:val="000000"/>
        </w:rPr>
        <w:t>           </w:t>
      </w:r>
    </w:p>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The following is a report on the National Conference of Insurance Legislators (NCOIL) Spring Meeting held from March 1 through 4, 2001, at the Hilton Oceanfront Resort in Hilton Head Island, South Carolina. </w:t>
      </w:r>
      <w:r>
        <w:rPr>
          <w:rStyle w:val="apple-converted-space"/>
          <w:rFonts w:cs="Times New Roman"/>
          <w:color w:val="000000"/>
        </w:rPr>
        <w:t> </w:t>
      </w:r>
      <w:r>
        <w:rPr>
          <w:rFonts w:cs="Times New Roman"/>
          <w:color w:val="000000"/>
        </w:rPr>
        <w:t>More than 240 state legislators, insurance regulators, industry and media representatives attended the meeting.</w:t>
      </w:r>
    </w:p>
    <w:p w:rsidR="006F6658" w:rsidRDefault="006F6658" w:rsidP="006F6658">
      <w:pPr>
        <w:pStyle w:val="BodyText"/>
        <w:ind w:firstLine="720"/>
        <w:rPr>
          <w:rFonts w:cs="Times New Roman"/>
          <w:color w:val="000000"/>
          <w:sz w:val="27"/>
          <w:szCs w:val="27"/>
        </w:rPr>
      </w:pPr>
      <w:r>
        <w:rPr>
          <w:rFonts w:ascii="Times New Roman" w:hAnsi="Times New Roman" w:cs="Times New Roman"/>
          <w:color w:val="000000"/>
          <w:sz w:val="27"/>
          <w:szCs w:val="27"/>
        </w:rPr>
        <w:t>This report highlights significant committee and subcommittee actions, general session discussions, and hearing activities at the Spring Meeting.</w:t>
      </w:r>
    </w:p>
    <w:p w:rsidR="006F6658" w:rsidRDefault="006F6658" w:rsidP="006F6658">
      <w:pPr>
        <w:pStyle w:val="Heading4"/>
        <w:rPr>
          <w:rFonts w:eastAsia="Times New Roman" w:cs="Times New Roman"/>
          <w:color w:val="000000"/>
          <w:sz w:val="27"/>
          <w:szCs w:val="27"/>
        </w:rPr>
      </w:pPr>
      <w:r>
        <w:rPr>
          <w:rFonts w:eastAsia="Times New Roman" w:cs="Times New Roman"/>
          <w:color w:val="000000"/>
          <w:u w:val="single"/>
        </w:rPr>
        <w:t>SYNOPSIS:</w:t>
      </w:r>
    </w:p>
    <w:p w:rsidR="006F6658" w:rsidRDefault="006F6658" w:rsidP="006F6658">
      <w:pPr>
        <w:spacing w:before="100" w:beforeAutospacing="1" w:after="100" w:afterAutospacing="1"/>
        <w:rPr>
          <w:rFonts w:cs="Times New Roman"/>
          <w:color w:val="000000"/>
          <w:sz w:val="27"/>
          <w:szCs w:val="27"/>
        </w:rPr>
      </w:pPr>
      <w:r>
        <w:rPr>
          <w:rFonts w:cs="Times New Roman"/>
          <w:b/>
          <w:bCs/>
          <w:color w:val="000000"/>
        </w:rPr>
        <w:t>    </w:t>
      </w:r>
      <w:r>
        <w:rPr>
          <w:rStyle w:val="apple-converted-space"/>
          <w:rFonts w:cs="Times New Roman"/>
          <w:b/>
          <w:bCs/>
          <w:color w:val="000000"/>
        </w:rPr>
        <w:t> </w:t>
      </w:r>
      <w:r>
        <w:rPr>
          <w:rFonts w:cs="Times New Roman"/>
          <w:b/>
          <w:bCs/>
          <w:color w:val="000000"/>
        </w:rPr>
        <w:t>      </w:t>
      </w:r>
      <w:r>
        <w:rPr>
          <w:rStyle w:val="apple-converted-space"/>
          <w:rFonts w:cs="Times New Roman"/>
          <w:b/>
          <w:bCs/>
          <w:color w:val="000000"/>
        </w:rPr>
        <w:t> </w:t>
      </w:r>
      <w:r>
        <w:rPr>
          <w:rFonts w:cs="Times New Roman"/>
          <w:color w:val="000000"/>
        </w:rPr>
        <w:t>At the NCOIL Spring Meeting, legislators:</w:t>
      </w:r>
    </w:p>
    <w:tbl>
      <w:tblPr>
        <w:tblW w:w="0" w:type="auto"/>
        <w:tblCellMar>
          <w:left w:w="0" w:type="dxa"/>
          <w:right w:w="0" w:type="dxa"/>
        </w:tblCellMar>
        <w:tblLook w:val="04A0" w:firstRow="1" w:lastRow="0" w:firstColumn="1" w:lastColumn="0" w:noHBand="0" w:noVBand="1"/>
      </w:tblPr>
      <w:tblGrid>
        <w:gridCol w:w="8856"/>
      </w:tblGrid>
      <w:tr w:rsidR="006F6658" w:rsidTr="006F6658">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clarifying and technical amendments to the NCOIL Financial Information Privacy Protection Model Act;</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an NCOIL Resolution in Support of Amending the NAIC Uniform Accident and Sickness Policy Provision;</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Fonts w:cs="Times New Roman"/>
              </w:rPr>
              <w:t xml:space="preserve"> a resolution in opposition to the federal oversight of Association Health Plans;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readopted</w:t>
            </w:r>
            <w:proofErr w:type="gramEnd"/>
            <w:r>
              <w:rPr>
                <w:rStyle w:val="apple-converted-space"/>
                <w:rFonts w:cs="Times New Roman"/>
                <w:b/>
                <w:bCs/>
              </w:rPr>
              <w:t> </w:t>
            </w:r>
            <w:r>
              <w:rPr>
                <w:rFonts w:cs="Times New Roman"/>
              </w:rPr>
              <w:t>the NCOIL Long Term Care Tax Credit Model Act;</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adopted</w:t>
            </w:r>
            <w:proofErr w:type="gramEnd"/>
            <w:r>
              <w:rPr>
                <w:rFonts w:cs="Times New Roman"/>
              </w:rPr>
              <w:t xml:space="preserve"> a Position Statement opposing any future increases in taxes on insurance premiums;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rejected</w:t>
            </w:r>
            <w:proofErr w:type="gramEnd"/>
            <w:r>
              <w:rPr>
                <w:rFonts w:cs="Times New Roman"/>
              </w:rPr>
              <w:t xml:space="preserve"> reconsideration of a proposed NCOIL Mental Health Parity Model Act;</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hearing on the deregulation of car and homeowners policies;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received</w:t>
            </w:r>
            <w:proofErr w:type="gramEnd"/>
            <w:r>
              <w:rPr>
                <w:rFonts w:cs="Times New Roman"/>
              </w:rPr>
              <w:t xml:space="preserve"> an update on producer licensing legislation;</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dialogue with the National Association of Insurance Commissioners (NAIC) on Speed-to-Market initiatives;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discussion on the reasons for rising health care costs;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lastRenderedPageBreak/>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received</w:t>
            </w:r>
            <w:proofErr w:type="gramEnd"/>
            <w:r>
              <w:rPr>
                <w:rFonts w:cs="Times New Roman"/>
              </w:rPr>
              <w:t xml:space="preserve"> presentations on flood insurance issues;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participated</w:t>
            </w:r>
            <w:proofErr w:type="gramEnd"/>
            <w:r>
              <w:rPr>
                <w:rFonts w:cs="Times New Roman"/>
              </w:rPr>
              <w:t xml:space="preserve"> in a discussion on international reinsurance issues; and</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voted</w:t>
            </w:r>
            <w:proofErr w:type="gramEnd"/>
            <w:r>
              <w:rPr>
                <w:rFonts w:cs="Times New Roman"/>
              </w:rPr>
              <w:t xml:space="preserve"> to hold a hearing on market conduct examinations at the Summer Meeting.</w:t>
            </w:r>
          </w:p>
        </w:tc>
      </w:tr>
    </w:tbl>
    <w:p w:rsidR="006F6658" w:rsidRDefault="006F6658" w:rsidP="006F6658">
      <w:pPr>
        <w:spacing w:before="100" w:beforeAutospacing="1" w:after="100" w:afterAutospacing="1"/>
        <w:ind w:left="720"/>
        <w:rPr>
          <w:rFonts w:cs="Times New Roman"/>
          <w:color w:val="000000"/>
          <w:sz w:val="27"/>
          <w:szCs w:val="27"/>
        </w:rPr>
      </w:pPr>
      <w:r>
        <w:rPr>
          <w:rFonts w:cs="Times New Roman"/>
          <w:color w:val="000000"/>
        </w:rPr>
        <w:t>A detailed report follows.</w:t>
      </w:r>
    </w:p>
    <w:p w:rsidR="006F6658" w:rsidRDefault="006F6658" w:rsidP="006F6658">
      <w:pPr>
        <w:pStyle w:val="Heading4"/>
        <w:rPr>
          <w:rFonts w:eastAsia="Times New Roman" w:cs="Times New Roman"/>
          <w:color w:val="000000"/>
          <w:sz w:val="27"/>
          <w:szCs w:val="27"/>
        </w:rPr>
      </w:pPr>
      <w:r>
        <w:rPr>
          <w:rFonts w:eastAsia="Times New Roman" w:cs="Times New Roman"/>
          <w:color w:val="000000"/>
          <w:u w:val="single"/>
        </w:rPr>
        <w:t>COMMITTEE ACTIVITIES:</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FINANCIAL PRIVACY</w:t>
      </w:r>
    </w:p>
    <w:p w:rsidR="006F6658" w:rsidRDefault="006F6658" w:rsidP="006F6658">
      <w:pPr>
        <w:spacing w:before="100" w:beforeAutospacing="1" w:after="100" w:afterAutospacing="1"/>
        <w:rPr>
          <w:rFonts w:cs="Times New Roman"/>
          <w:color w:val="000000"/>
          <w:sz w:val="27"/>
          <w:szCs w:val="27"/>
        </w:rPr>
      </w:pPr>
      <w:r>
        <w:rPr>
          <w:rFonts w:cs="Times New Roman"/>
          <w:color w:val="000000"/>
        </w:rPr>
        <w:t>           </w:t>
      </w:r>
      <w:r>
        <w:rPr>
          <w:rStyle w:val="apple-converted-space"/>
          <w:rFonts w:cs="Times New Roman"/>
          <w:color w:val="000000"/>
        </w:rPr>
        <w:t> </w:t>
      </w:r>
      <w:r>
        <w:rPr>
          <w:rFonts w:cs="Times New Roman"/>
          <w:color w:val="000000"/>
        </w:rPr>
        <w:t>Legislators adopted a series of clarifying and technical amendments to the NCOIL Financial Information Privacy Protection Model Act.</w:t>
      </w:r>
    </w:p>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Legislators moved to clarify that the NCOIL Financial Information Privacy Protection Model Act requires insurers licensed in a specific state to operate under privacy rules established by that state, not under rules adopted by their state of domicile. </w:t>
      </w:r>
      <w:r>
        <w:rPr>
          <w:rStyle w:val="apple-converted-space"/>
          <w:rFonts w:cs="Times New Roman"/>
          <w:color w:val="000000"/>
        </w:rPr>
        <w:t> </w:t>
      </w:r>
      <w:r>
        <w:rPr>
          <w:rFonts w:cs="Times New Roman"/>
          <w:color w:val="000000"/>
        </w:rPr>
        <w:t>By a unanimous vote, the Committee rejected a proposed amendment that would have replaced the current definition of "licensee" with a definition of "domiciled insurer."</w:t>
      </w:r>
    </w:p>
    <w:p w:rsidR="006F6658" w:rsidRDefault="006F6658" w:rsidP="006F6658">
      <w:pPr>
        <w:spacing w:before="100" w:beforeAutospacing="1" w:after="100" w:afterAutospacing="1"/>
        <w:rPr>
          <w:rFonts w:cs="Times New Roman"/>
          <w:color w:val="000000"/>
          <w:sz w:val="27"/>
          <w:szCs w:val="27"/>
        </w:rPr>
      </w:pPr>
      <w:r>
        <w:rPr>
          <w:rFonts w:cs="Times New Roman"/>
          <w:color w:val="000000"/>
        </w:rPr>
        <w:t>           </w:t>
      </w:r>
      <w:r>
        <w:rPr>
          <w:rStyle w:val="apple-converted-space"/>
          <w:rFonts w:cs="Times New Roman"/>
          <w:color w:val="000000"/>
        </w:rPr>
        <w:t> </w:t>
      </w:r>
      <w:r>
        <w:rPr>
          <w:rFonts w:cs="Times New Roman"/>
          <w:color w:val="000000"/>
        </w:rPr>
        <w:t>Legislators also adopted, among other amendments, provisions that would:</w:t>
      </w:r>
    </w:p>
    <w:tbl>
      <w:tblPr>
        <w:tblW w:w="0" w:type="auto"/>
        <w:tblCellMar>
          <w:left w:w="0" w:type="dxa"/>
          <w:right w:w="0" w:type="dxa"/>
        </w:tblCellMar>
        <w:tblLook w:val="04A0" w:firstRow="1" w:lastRow="0" w:firstColumn="1" w:lastColumn="0" w:noHBand="0" w:noVBand="1"/>
      </w:tblPr>
      <w:tblGrid>
        <w:gridCol w:w="8856"/>
      </w:tblGrid>
      <w:tr w:rsidR="006F6658" w:rsidTr="006F6658">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revise</w:t>
            </w:r>
            <w:proofErr w:type="gramEnd"/>
            <w:r>
              <w:rPr>
                <w:rFonts w:cs="Times New Roman"/>
              </w:rPr>
              <w:t xml:space="preserve"> the definition of “licensee” to exempt agents acting on behalf of an insurer from all requirements that an agent is exempt from; and</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w:t>
            </w:r>
            <w:proofErr w:type="gramStart"/>
            <w:r>
              <w:rPr>
                <w:rFonts w:cs="Times New Roman"/>
              </w:rPr>
              <w:t>allow</w:t>
            </w:r>
            <w:proofErr w:type="gramEnd"/>
            <w:r>
              <w:rPr>
                <w:rFonts w:cs="Times New Roman"/>
              </w:rPr>
              <w:t xml:space="preserve"> an exemption for employees or other representatives acting on behalf of another licensee.</w:t>
            </w:r>
          </w:p>
        </w:tc>
      </w:tr>
    </w:tbl>
    <w:p w:rsidR="006F6658" w:rsidRDefault="006F6658" w:rsidP="006F6658">
      <w:pPr>
        <w:pStyle w:val="BodyText2"/>
        <w:ind w:firstLine="720"/>
        <w:rPr>
          <w:rFonts w:cs="Times New Roman"/>
          <w:color w:val="000000"/>
          <w:sz w:val="27"/>
          <w:szCs w:val="27"/>
        </w:rPr>
      </w:pPr>
      <w:r>
        <w:rPr>
          <w:rFonts w:cs="Times New Roman"/>
          <w:color w:val="000000"/>
          <w:sz w:val="27"/>
          <w:szCs w:val="27"/>
        </w:rPr>
        <w:t>The NCOIL Financial Information Privacy Protection Model Act is now available on the NCOIL Web site. </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BLOOD ALCOHOL SCREENING</w:t>
      </w:r>
    </w:p>
    <w:p w:rsidR="006F6658" w:rsidRDefault="006F6658" w:rsidP="006F6658">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rPr>
        <w:t>Legislators adopted a resolution supporting amendment of the NAIC Uniform Accident and Sickness Policy Provision Law. </w:t>
      </w:r>
      <w:r>
        <w:rPr>
          <w:rStyle w:val="apple-converted-space"/>
          <w:rFonts w:cs="Times New Roman"/>
          <w:color w:val="000000"/>
        </w:rPr>
        <w:t> </w:t>
      </w:r>
      <w:r>
        <w:rPr>
          <w:rFonts w:cs="Times New Roman"/>
          <w:color w:val="000000"/>
        </w:rPr>
        <w:t>The NAIC model law states that insurers are not liable for losses sustained in consequence of the presence of alcohol in the insured’s system, which discourages physicians from obtaining a blood alcohol level from accident victims. </w:t>
      </w:r>
      <w:r>
        <w:rPr>
          <w:rStyle w:val="apple-converted-space"/>
          <w:rFonts w:cs="Times New Roman"/>
          <w:color w:val="000000"/>
        </w:rPr>
        <w:t> </w:t>
      </w:r>
      <w:r>
        <w:rPr>
          <w:rFonts w:cs="Times New Roman"/>
          <w:color w:val="000000"/>
        </w:rPr>
        <w:t>The NAIC is considering amending the model law so that the provision would no longer apply to medical expense policies. The NCOIL resolution supports the NAIC amendment, as well as the repeal of such exclusion and restriction provisions in the more than 40 states that have adopted some variation of the NAIC model law. </w:t>
      </w:r>
      <w:r>
        <w:rPr>
          <w:rStyle w:val="apple-converted-space"/>
          <w:rFonts w:cs="Times New Roman"/>
          <w:color w:val="000000"/>
        </w:rPr>
        <w:t> </w:t>
      </w:r>
      <w:r>
        <w:rPr>
          <w:rFonts w:cs="Times New Roman"/>
          <w:color w:val="000000"/>
        </w:rPr>
        <w:t>The NCOIL resolution notes that early intervention is the key to decreasing the drunk-driving recidivism rate and that, in order to provide treatment, it is necessary to screen for blood alcohol content. </w:t>
      </w:r>
      <w:r>
        <w:rPr>
          <w:rStyle w:val="apple-converted-space"/>
          <w:rFonts w:cs="Times New Roman"/>
          <w:color w:val="000000"/>
        </w:rPr>
        <w:t> </w:t>
      </w:r>
      <w:r>
        <w:rPr>
          <w:rFonts w:cs="Times New Roman"/>
          <w:color w:val="000000"/>
        </w:rPr>
        <w:t>The resolution also notes that such testing is cost effective because many unnecessary tests are currently conducted, when it would be less expensive and more efficient to simply screen for blood alcohol. </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RENEWAL OF NCOIL RESOLUTIONS</w:t>
      </w:r>
    </w:p>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The NCOIL By-laws require review of all model laws and resolutions two years after adoption, at which time NCOIL must either renew or sunset the bills. </w:t>
      </w:r>
    </w:p>
    <w:p w:rsidR="006F6658" w:rsidRDefault="006F6658" w:rsidP="006F6658">
      <w:pPr>
        <w:pStyle w:val="Heading4"/>
        <w:ind w:left="450" w:hanging="90"/>
        <w:rPr>
          <w:rFonts w:eastAsia="Times New Roman" w:cs="Times New Roman"/>
          <w:color w:val="000000"/>
          <w:sz w:val="27"/>
          <w:szCs w:val="27"/>
        </w:rPr>
      </w:pPr>
      <w:r>
        <w:rPr>
          <w:rFonts w:eastAsia="Times New Roman" w:cs="Times New Roman"/>
          <w:color w:val="000000"/>
          <w:sz w:val="27"/>
          <w:szCs w:val="27"/>
        </w:rPr>
        <w:t> RESOLUTION OPPOSING FEDERAL OVERSIGHT OF ASSOCIATION HEALTH PLANS</w:t>
      </w:r>
    </w:p>
    <w:p w:rsidR="006F6658" w:rsidRDefault="006F6658" w:rsidP="006F6658">
      <w:pPr>
        <w:pStyle w:val="BodyText2"/>
        <w:ind w:firstLine="720"/>
        <w:rPr>
          <w:rFonts w:cs="Times New Roman"/>
          <w:color w:val="000000"/>
          <w:sz w:val="27"/>
          <w:szCs w:val="27"/>
        </w:rPr>
      </w:pPr>
      <w:r>
        <w:rPr>
          <w:rFonts w:cs="Times New Roman"/>
          <w:color w:val="000000"/>
          <w:sz w:val="27"/>
          <w:szCs w:val="27"/>
        </w:rPr>
        <w:t xml:space="preserve">Legislators voted to renew an NCOIL Resolution on Federal Preemption of State Laws Regarding Certain Health Insurance Arrangements and Association Health Plans, which </w:t>
      </w:r>
      <w:proofErr w:type="gramStart"/>
      <w:r>
        <w:rPr>
          <w:rFonts w:cs="Times New Roman"/>
          <w:color w:val="000000"/>
          <w:sz w:val="27"/>
          <w:szCs w:val="27"/>
        </w:rPr>
        <w:t>was</w:t>
      </w:r>
      <w:proofErr w:type="gramEnd"/>
      <w:r>
        <w:rPr>
          <w:rFonts w:cs="Times New Roman"/>
          <w:color w:val="000000"/>
          <w:sz w:val="27"/>
          <w:szCs w:val="27"/>
        </w:rPr>
        <w:t xml:space="preserve"> adopted in 1999 in opposition to congressional initiatives which, according to the resolution, would encroach upon state authority to regulate health insurers.</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LONG-TERM CARE TAX CREDIT MODEL ACT</w:t>
      </w:r>
    </w:p>
    <w:p w:rsidR="006F6658" w:rsidRDefault="006F6658" w:rsidP="006F6658">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rPr>
        <w:t>Legislators renewed the 1998 NCOIL Long-Term Care Tax Credit Model Act, which supports a federal long-term care tax credit.</w:t>
      </w:r>
    </w:p>
    <w:p w:rsidR="006F6658" w:rsidRDefault="006F6658" w:rsidP="006F6658">
      <w:pPr>
        <w:pStyle w:val="Heading4"/>
        <w:ind w:left="360"/>
        <w:rPr>
          <w:rFonts w:eastAsia="Times New Roman" w:cs="Times New Roman"/>
          <w:color w:val="000000"/>
          <w:sz w:val="27"/>
          <w:szCs w:val="27"/>
        </w:rPr>
      </w:pPr>
      <w:r>
        <w:rPr>
          <w:rFonts w:eastAsia="Times New Roman" w:cs="Times New Roman"/>
          <w:color w:val="000000"/>
          <w:sz w:val="27"/>
          <w:szCs w:val="27"/>
        </w:rPr>
        <w:t> RESOLUTION IN OPPOSITION TO THE FEDERAL DEFERRED ACQUISITION COST</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      </w:t>
      </w:r>
      <w:r>
        <w:rPr>
          <w:rStyle w:val="apple-converted-space"/>
          <w:rFonts w:eastAsia="Times New Roman" w:cs="Times New Roman"/>
          <w:color w:val="000000"/>
          <w:sz w:val="27"/>
          <w:szCs w:val="27"/>
        </w:rPr>
        <w:t> </w:t>
      </w:r>
      <w:r>
        <w:rPr>
          <w:rFonts w:eastAsia="Times New Roman" w:cs="Times New Roman"/>
          <w:color w:val="000000"/>
          <w:sz w:val="27"/>
          <w:szCs w:val="27"/>
        </w:rPr>
        <w:t>(DAC) TAX INCREASE</w:t>
      </w:r>
    </w:p>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Legislators allowed a 1999 resolution in opposition to the federal deferred acquisition cost (DAC) tax increase to sunset, and replaced it with a position statement that opposes any future increases in taxes on insurance premiums</w:t>
      </w:r>
      <w:r>
        <w:rPr>
          <w:rFonts w:cs="Times New Roman"/>
          <w:color w:val="000000"/>
          <w:sz w:val="27"/>
          <w:szCs w:val="27"/>
        </w:rPr>
        <w:t>.</w:t>
      </w:r>
    </w:p>
    <w:p w:rsidR="006F6658" w:rsidRDefault="006F6658" w:rsidP="006F6658">
      <w:pPr>
        <w:spacing w:before="100" w:beforeAutospacing="1" w:after="100" w:afterAutospacing="1"/>
        <w:rPr>
          <w:rFonts w:cs="Times New Roman"/>
          <w:color w:val="000000"/>
          <w:sz w:val="27"/>
          <w:szCs w:val="27"/>
        </w:rPr>
      </w:pPr>
      <w:r>
        <w:rPr>
          <w:rFonts w:cs="Times New Roman"/>
          <w:color w:val="000000"/>
        </w:rPr>
        <w:t> </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MENTAL HEALTH PARITY</w:t>
      </w:r>
    </w:p>
    <w:p w:rsidR="006F6658" w:rsidRDefault="006F6658" w:rsidP="006F6658">
      <w:pPr>
        <w:pStyle w:val="BodyTextIndent"/>
        <w:rPr>
          <w:rFonts w:cs="Times New Roman"/>
          <w:color w:val="000000"/>
          <w:sz w:val="27"/>
          <w:szCs w:val="27"/>
        </w:rPr>
      </w:pPr>
      <w:r>
        <w:rPr>
          <w:rFonts w:cs="Times New Roman"/>
          <w:color w:val="000000"/>
          <w:sz w:val="27"/>
          <w:szCs w:val="27"/>
        </w:rPr>
        <w:t>Legislators rejected reconsideration of a proposed NCOIL Mental Health Parity Model Act. </w:t>
      </w:r>
      <w:r>
        <w:rPr>
          <w:rStyle w:val="apple-converted-space"/>
          <w:rFonts w:cs="Times New Roman"/>
          <w:color w:val="000000"/>
          <w:sz w:val="27"/>
          <w:szCs w:val="27"/>
        </w:rPr>
        <w:t> </w:t>
      </w:r>
      <w:r>
        <w:rPr>
          <w:rFonts w:cs="Times New Roman"/>
          <w:color w:val="000000"/>
          <w:sz w:val="27"/>
          <w:szCs w:val="27"/>
        </w:rPr>
        <w:t>The Act would provide for coverage of mental illness by health insurers. </w:t>
      </w:r>
      <w:r>
        <w:rPr>
          <w:rStyle w:val="apple-converted-space"/>
          <w:rFonts w:cs="Times New Roman"/>
          <w:color w:val="000000"/>
          <w:sz w:val="27"/>
          <w:szCs w:val="27"/>
        </w:rPr>
        <w:t> </w:t>
      </w:r>
      <w:r>
        <w:rPr>
          <w:rFonts w:cs="Times New Roman"/>
          <w:color w:val="000000"/>
          <w:sz w:val="27"/>
          <w:szCs w:val="27"/>
        </w:rPr>
        <w:t>The NCOIL Executive Committee had voted to table the model at its 2000 Annual Meeting in November, and voted not to discuss the proposal in Hilton Head.</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PERSONAL LINES DEREGULATION</w:t>
      </w:r>
    </w:p>
    <w:p w:rsidR="006F6658" w:rsidRDefault="006F6658" w:rsidP="006F6658">
      <w:pPr>
        <w:pStyle w:val="BodyTextIndent"/>
        <w:rPr>
          <w:rFonts w:cs="Times New Roman"/>
          <w:color w:val="000000"/>
          <w:sz w:val="27"/>
          <w:szCs w:val="27"/>
        </w:rPr>
      </w:pPr>
      <w:r>
        <w:rPr>
          <w:rFonts w:cs="Times New Roman"/>
          <w:color w:val="000000"/>
          <w:sz w:val="27"/>
          <w:szCs w:val="27"/>
        </w:rPr>
        <w:t>Legislators heard testimony from panels of witnesses on the benefits of and drawbacks to deregulation of auto and homeowners’ insurance policies, also known as personal lines. </w:t>
      </w:r>
      <w:r>
        <w:rPr>
          <w:rStyle w:val="apple-converted-space"/>
          <w:rFonts w:cs="Times New Roman"/>
          <w:color w:val="000000"/>
          <w:sz w:val="27"/>
          <w:szCs w:val="27"/>
        </w:rPr>
        <w:t> </w:t>
      </w:r>
      <w:r>
        <w:rPr>
          <w:rFonts w:cs="Times New Roman"/>
          <w:color w:val="000000"/>
          <w:sz w:val="27"/>
          <w:szCs w:val="27"/>
        </w:rPr>
        <w:t>A total of 15 witnesses representing academia, regulators, insurers and consumers testified before the NCOIL Property-Casualty Insurance Committee. The Committee will use this information to determine any further action.</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PRODUCER LICENSING</w:t>
      </w:r>
    </w:p>
    <w:p w:rsidR="006F6658" w:rsidRDefault="006F6658" w:rsidP="006F6658">
      <w:pPr>
        <w:pStyle w:val="BodyTextIndent"/>
        <w:rPr>
          <w:rFonts w:cs="Times New Roman"/>
          <w:color w:val="000000"/>
          <w:sz w:val="27"/>
          <w:szCs w:val="27"/>
        </w:rPr>
      </w:pPr>
      <w:r>
        <w:rPr>
          <w:rFonts w:cs="Times New Roman"/>
          <w:color w:val="000000"/>
          <w:sz w:val="27"/>
          <w:szCs w:val="27"/>
        </w:rPr>
        <w:t>Legislators heard a report explaining the importance of enacting reciprocal and/or uniform producer licensing legislation in their respective states. </w:t>
      </w:r>
      <w:r>
        <w:rPr>
          <w:rStyle w:val="apple-converted-space"/>
          <w:rFonts w:cs="Times New Roman"/>
          <w:color w:val="000000"/>
          <w:sz w:val="27"/>
          <w:szCs w:val="27"/>
        </w:rPr>
        <w:t> </w:t>
      </w:r>
      <w:r>
        <w:rPr>
          <w:rFonts w:cs="Times New Roman"/>
          <w:color w:val="000000"/>
          <w:sz w:val="27"/>
          <w:szCs w:val="27"/>
        </w:rPr>
        <w:t xml:space="preserve">An NCOIL survey showed that as of the Hilton Head Meeting, 22 states had introduced </w:t>
      </w:r>
      <w:proofErr w:type="gramStart"/>
      <w:r>
        <w:rPr>
          <w:rFonts w:cs="Times New Roman"/>
          <w:color w:val="000000"/>
          <w:sz w:val="27"/>
          <w:szCs w:val="27"/>
        </w:rPr>
        <w:t>producer licensing</w:t>
      </w:r>
      <w:proofErr w:type="gramEnd"/>
      <w:r>
        <w:rPr>
          <w:rFonts w:cs="Times New Roman"/>
          <w:color w:val="000000"/>
          <w:sz w:val="27"/>
          <w:szCs w:val="27"/>
        </w:rPr>
        <w:t xml:space="preserve"> legislation that, if enacted, would comply with the reciprocity and/or uniformity requirements of the federal Gramm-Leach-Bliley Act (GLBA).</w:t>
      </w:r>
    </w:p>
    <w:p w:rsidR="006F6658" w:rsidRDefault="006F6658" w:rsidP="006F6658">
      <w:pPr>
        <w:pStyle w:val="Heading4"/>
        <w:rPr>
          <w:rFonts w:eastAsia="Times New Roman" w:cs="Times New Roman"/>
          <w:color w:val="000000"/>
          <w:sz w:val="27"/>
          <w:szCs w:val="27"/>
        </w:rPr>
      </w:pPr>
      <w:r>
        <w:rPr>
          <w:rFonts w:eastAsia="Times New Roman" w:cs="Times New Roman"/>
          <w:color w:val="000000"/>
        </w:rPr>
        <w:t>NCOIL/NAIC DIALOGUE: SPEED-TO-MARKET</w:t>
      </w:r>
    </w:p>
    <w:p w:rsidR="006F6658" w:rsidRDefault="006F6658" w:rsidP="006F6658">
      <w:pPr>
        <w:spacing w:before="100" w:beforeAutospacing="1" w:after="100" w:afterAutospacing="1"/>
        <w:rPr>
          <w:rFonts w:cs="Times New Roman"/>
          <w:color w:val="000000"/>
          <w:sz w:val="27"/>
          <w:szCs w:val="27"/>
        </w:rPr>
      </w:pPr>
      <w:r>
        <w:rPr>
          <w:rFonts w:cs="Times New Roman"/>
          <w:color w:val="000000"/>
        </w:rPr>
        <w:t>           </w:t>
      </w:r>
      <w:r>
        <w:rPr>
          <w:rStyle w:val="apple-converted-space"/>
          <w:rFonts w:cs="Times New Roman"/>
          <w:color w:val="000000"/>
        </w:rPr>
        <w:t> </w:t>
      </w:r>
      <w:r>
        <w:rPr>
          <w:rFonts w:cs="Times New Roman"/>
          <w:color w:val="000000"/>
        </w:rPr>
        <w:t>Legislators and members of the NAIC participated in a discussion regarding insurer concerns with the state regulatory process for approval of new insurance products. </w:t>
      </w:r>
      <w:r>
        <w:rPr>
          <w:rStyle w:val="apple-converted-space"/>
          <w:rFonts w:cs="Times New Roman"/>
          <w:color w:val="000000"/>
        </w:rPr>
        <w:t> </w:t>
      </w:r>
      <w:r>
        <w:rPr>
          <w:rFonts w:cs="Times New Roman"/>
          <w:color w:val="000000"/>
        </w:rPr>
        <w:t>Legislators learned about the activities of the NAIC Speed-to-Market Working Group.</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RISING COST OF HEALTH CARE</w:t>
      </w:r>
    </w:p>
    <w:p w:rsidR="006F6658" w:rsidRDefault="006F6658" w:rsidP="006F6658">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rPr>
        <w:t>Legislators participated in a discussion, entitled “The Rising Cost of Health Care and Pharmaceuticals,” moderated by NCOIL President, Rep. Terry Parke (IL).</w:t>
      </w:r>
    </w:p>
    <w:p w:rsidR="006F6658" w:rsidRDefault="006F6658" w:rsidP="006F6658">
      <w:pPr>
        <w:pStyle w:val="BodyTextIndent"/>
        <w:rPr>
          <w:rFonts w:cs="Times New Roman"/>
          <w:color w:val="000000"/>
          <w:sz w:val="27"/>
          <w:szCs w:val="27"/>
        </w:rPr>
      </w:pPr>
      <w:r>
        <w:rPr>
          <w:rFonts w:cs="Times New Roman"/>
          <w:color w:val="000000"/>
          <w:sz w:val="27"/>
          <w:szCs w:val="27"/>
        </w:rPr>
        <w:t>Lending expertise to the discussion were:</w:t>
      </w:r>
    </w:p>
    <w:tbl>
      <w:tblPr>
        <w:tblW w:w="0" w:type="auto"/>
        <w:tblCellMar>
          <w:left w:w="0" w:type="dxa"/>
          <w:right w:w="0" w:type="dxa"/>
        </w:tblCellMar>
        <w:tblLook w:val="04A0" w:firstRow="1" w:lastRow="0" w:firstColumn="1" w:lastColumn="0" w:noHBand="0" w:noVBand="1"/>
      </w:tblPr>
      <w:tblGrid>
        <w:gridCol w:w="8856"/>
      </w:tblGrid>
      <w:tr w:rsidR="006F6658" w:rsidTr="006F6658">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Professor Helen </w:t>
            </w:r>
            <w:proofErr w:type="spellStart"/>
            <w:r>
              <w:rPr>
                <w:rFonts w:cs="Times New Roman"/>
              </w:rPr>
              <w:t>Doerpinghaus</w:t>
            </w:r>
            <w:proofErr w:type="spellEnd"/>
            <w:r>
              <w:rPr>
                <w:rFonts w:cs="Times New Roman"/>
              </w:rPr>
              <w:t>, President of the American Risk and Insurance Association, University of South Carolina, Columbia, South Carolina;</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Mr. Christopher </w:t>
            </w:r>
            <w:proofErr w:type="spellStart"/>
            <w:r>
              <w:rPr>
                <w:rFonts w:cs="Times New Roman"/>
              </w:rPr>
              <w:t>Badgley</w:t>
            </w:r>
            <w:proofErr w:type="spellEnd"/>
            <w:r>
              <w:rPr>
                <w:rFonts w:cs="Times New Roman"/>
              </w:rPr>
              <w:t xml:space="preserve">, Vice President, State Government Affairs, </w:t>
            </w:r>
            <w:proofErr w:type="spellStart"/>
            <w:r>
              <w:rPr>
                <w:rFonts w:cs="Times New Roman"/>
              </w:rPr>
              <w:t>PhRMA</w:t>
            </w:r>
            <w:proofErr w:type="spellEnd"/>
            <w:r>
              <w:rPr>
                <w:rFonts w:cs="Times New Roman"/>
              </w:rPr>
              <w:t>, Washington, D.C.;</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Mr. Andrew Webber, Vice President for Public Policy, National Committee for Quality Assurance, Washington, D.C.; and</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Mr. Aaron </w:t>
            </w:r>
            <w:proofErr w:type="spellStart"/>
            <w:r>
              <w:rPr>
                <w:rFonts w:cs="Times New Roman"/>
              </w:rPr>
              <w:t>Kozloski</w:t>
            </w:r>
            <w:proofErr w:type="spellEnd"/>
            <w:r>
              <w:rPr>
                <w:rFonts w:cs="Times New Roman"/>
              </w:rPr>
              <w:t>, General Counsel, South Carolina Medical Association,</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pStyle w:val="NormalWeb"/>
            </w:pPr>
            <w:r>
              <w:t>Columbia, South Carolina.</w:t>
            </w:r>
          </w:p>
        </w:tc>
      </w:tr>
    </w:tbl>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INSURANCE LEGISLATORS FOUNDATION FLOOD STUDY</w:t>
      </w:r>
    </w:p>
    <w:p w:rsidR="006F6658" w:rsidRDefault="006F6658" w:rsidP="006F6658">
      <w:pPr>
        <w:pStyle w:val="BodyTextIndent"/>
        <w:rPr>
          <w:rFonts w:cs="Times New Roman"/>
          <w:color w:val="000000"/>
          <w:sz w:val="27"/>
          <w:szCs w:val="27"/>
        </w:rPr>
      </w:pPr>
      <w:r>
        <w:rPr>
          <w:rFonts w:cs="Times New Roman"/>
          <w:color w:val="000000"/>
          <w:sz w:val="27"/>
          <w:szCs w:val="27"/>
        </w:rPr>
        <w:t xml:space="preserve">Legislators participated in a discussion, moderated by Sen. Allen </w:t>
      </w:r>
      <w:proofErr w:type="spellStart"/>
      <w:r>
        <w:rPr>
          <w:rFonts w:cs="Times New Roman"/>
          <w:color w:val="000000"/>
          <w:sz w:val="27"/>
          <w:szCs w:val="27"/>
        </w:rPr>
        <w:t>Wellons</w:t>
      </w:r>
      <w:proofErr w:type="spellEnd"/>
      <w:r>
        <w:rPr>
          <w:rFonts w:cs="Times New Roman"/>
          <w:color w:val="000000"/>
          <w:sz w:val="27"/>
          <w:szCs w:val="27"/>
        </w:rPr>
        <w:t xml:space="preserve"> (NC), entitled “Federal Flood Insurance: Does it </w:t>
      </w:r>
      <w:proofErr w:type="gramStart"/>
      <w:r>
        <w:rPr>
          <w:rFonts w:cs="Times New Roman"/>
          <w:color w:val="000000"/>
          <w:sz w:val="27"/>
          <w:szCs w:val="27"/>
        </w:rPr>
        <w:t>Meet</w:t>
      </w:r>
      <w:proofErr w:type="gramEnd"/>
      <w:r>
        <w:rPr>
          <w:rFonts w:cs="Times New Roman"/>
          <w:color w:val="000000"/>
          <w:sz w:val="27"/>
          <w:szCs w:val="27"/>
        </w:rPr>
        <w:t xml:space="preserve"> the Need?”</w:t>
      </w:r>
    </w:p>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Contributing to the discussion were:</w:t>
      </w:r>
    </w:p>
    <w:tbl>
      <w:tblPr>
        <w:tblW w:w="0" w:type="auto"/>
        <w:tblCellMar>
          <w:left w:w="0" w:type="dxa"/>
          <w:right w:w="0" w:type="dxa"/>
        </w:tblCellMar>
        <w:tblLook w:val="04A0" w:firstRow="1" w:lastRow="0" w:firstColumn="1" w:lastColumn="0" w:noHBand="0" w:noVBand="1"/>
      </w:tblPr>
      <w:tblGrid>
        <w:gridCol w:w="8856"/>
      </w:tblGrid>
      <w:tr w:rsidR="006F6658" w:rsidTr="006F6658">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Mr. Edward L. Connor, Acting Director, Finance and Administration, Federal Insurance Administration, Washington, D.C.;</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Mr. Edward T. </w:t>
            </w:r>
            <w:proofErr w:type="spellStart"/>
            <w:r>
              <w:rPr>
                <w:rFonts w:cs="Times New Roman"/>
              </w:rPr>
              <w:t>Pasterick</w:t>
            </w:r>
            <w:proofErr w:type="spellEnd"/>
            <w:r>
              <w:rPr>
                <w:rFonts w:cs="Times New Roman"/>
              </w:rPr>
              <w:t>, Director of Operations, Federal Insurance Administration, Washington, D.C.;</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Mr. Larry Palmer, Associate Vice President and Director – Flood Department, Redland Insurance Company, Omaha, Nebraska;</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Ms. Kathleen Batson, Senior Vice President, Bankers Insurance Company, St. Petersburg, Florida; and</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Mr. J. Fletcher Willey, Jr., President, J. Fletcher Agency, Inc., Kill Devil Hills, North Carolina.</w:t>
            </w:r>
          </w:p>
        </w:tc>
      </w:tr>
    </w:tbl>
    <w:p w:rsidR="006F6658" w:rsidRDefault="006F6658" w:rsidP="006F6658">
      <w:pPr>
        <w:spacing w:before="100" w:beforeAutospacing="1" w:after="100" w:afterAutospacing="1"/>
        <w:ind w:firstLine="720"/>
        <w:rPr>
          <w:rFonts w:cs="Times New Roman"/>
          <w:color w:val="000000"/>
          <w:sz w:val="27"/>
          <w:szCs w:val="27"/>
        </w:rPr>
      </w:pPr>
      <w:r>
        <w:rPr>
          <w:rFonts w:cs="Times New Roman"/>
          <w:color w:val="000000"/>
        </w:rPr>
        <w:t>Legislators voted to hold a hearing on a legislators guide to federal flood insurance at the NCOIL Summer Meeting in Chicago on July 12 through 15, 2001.</w:t>
      </w:r>
    </w:p>
    <w:p w:rsidR="006F6658" w:rsidRDefault="006F6658" w:rsidP="006F6658">
      <w:pPr>
        <w:pStyle w:val="Heading4"/>
        <w:rPr>
          <w:rFonts w:eastAsia="Times New Roman" w:cs="Times New Roman"/>
          <w:color w:val="000000"/>
          <w:sz w:val="27"/>
          <w:szCs w:val="27"/>
        </w:rPr>
      </w:pPr>
      <w:r>
        <w:rPr>
          <w:rFonts w:eastAsia="Times New Roman" w:cs="Times New Roman"/>
          <w:color w:val="000000"/>
          <w:sz w:val="27"/>
          <w:szCs w:val="27"/>
        </w:rPr>
        <w:t>INTERNATIONAL REINSURANCE ISSUES</w:t>
      </w:r>
    </w:p>
    <w:p w:rsidR="006F6658" w:rsidRDefault="006F6658" w:rsidP="006F6658">
      <w:pPr>
        <w:pStyle w:val="BodyTextIndent"/>
        <w:rPr>
          <w:rFonts w:cs="Times New Roman"/>
          <w:color w:val="000000"/>
          <w:sz w:val="27"/>
          <w:szCs w:val="27"/>
        </w:rPr>
      </w:pPr>
      <w:r>
        <w:rPr>
          <w:rFonts w:cs="Times New Roman"/>
          <w:color w:val="000000"/>
          <w:sz w:val="27"/>
          <w:szCs w:val="27"/>
        </w:rPr>
        <w:t>Legislators participated in a discussion moderated by Rep. Frank Wald (ND), and entitled “International Reinsurance: Is There a Level Playing Field?”  </w:t>
      </w:r>
      <w:r>
        <w:rPr>
          <w:rStyle w:val="apple-converted-space"/>
          <w:rFonts w:cs="Times New Roman"/>
          <w:color w:val="000000"/>
          <w:sz w:val="27"/>
          <w:szCs w:val="27"/>
        </w:rPr>
        <w:t> </w:t>
      </w:r>
      <w:r>
        <w:rPr>
          <w:rFonts w:cs="Times New Roman"/>
          <w:color w:val="000000"/>
          <w:sz w:val="27"/>
          <w:szCs w:val="27"/>
        </w:rPr>
        <w:t>The discussion featured regulatory authorities and reinsurers from the United States and the European Union who addressed the differences in the regulation of reinsurance in the E.U. and the U.S.</w:t>
      </w:r>
    </w:p>
    <w:p w:rsidR="006F6658" w:rsidRDefault="006F6658" w:rsidP="006F6658">
      <w:pPr>
        <w:pStyle w:val="BodyTextIndent"/>
        <w:rPr>
          <w:rFonts w:cs="Times New Roman"/>
          <w:color w:val="000000"/>
          <w:sz w:val="27"/>
          <w:szCs w:val="27"/>
        </w:rPr>
      </w:pPr>
      <w:r>
        <w:rPr>
          <w:rFonts w:cs="Times New Roman"/>
          <w:color w:val="000000"/>
          <w:sz w:val="27"/>
          <w:szCs w:val="27"/>
        </w:rPr>
        <w:t>Lending participation to the discussion were:</w:t>
      </w:r>
    </w:p>
    <w:tbl>
      <w:tblPr>
        <w:tblW w:w="0" w:type="auto"/>
        <w:tblCellMar>
          <w:left w:w="0" w:type="dxa"/>
          <w:right w:w="0" w:type="dxa"/>
        </w:tblCellMar>
        <w:tblLook w:val="04A0" w:firstRow="1" w:lastRow="0" w:firstColumn="1" w:lastColumn="0" w:noHBand="0" w:noVBand="1"/>
      </w:tblPr>
      <w:tblGrid>
        <w:gridCol w:w="8856"/>
      </w:tblGrid>
      <w:tr w:rsidR="006F6658" w:rsidTr="006F6658">
        <w:tc>
          <w:tcPr>
            <w:tcW w:w="9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pStyle w:val="BodyTextIndent"/>
              <w:rPr>
                <w:rFonts w:cs="Times New Roman"/>
              </w:rPr>
            </w:pPr>
            <w:r>
              <w:rPr>
                <w:rFonts w:cs="Times New Roman"/>
              </w:rPr>
              <w:t>-- Dr. John Thornton, Professor, University of North Texas, Denton, Texas;</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pStyle w:val="NormalWeb"/>
            </w:pPr>
            <w:r>
              <w:t>-- Nigel Davies, Manager of Lloyd’s &amp; London Market, Financial Services Authority, London, United Kingdom;</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Superintendent Alessandro A. </w:t>
            </w:r>
            <w:proofErr w:type="spellStart"/>
            <w:r>
              <w:rPr>
                <w:rFonts w:cs="Times New Roman"/>
              </w:rPr>
              <w:t>Iuppa</w:t>
            </w:r>
            <w:proofErr w:type="spellEnd"/>
            <w:r>
              <w:rPr>
                <w:rFonts w:cs="Times New Roman"/>
              </w:rPr>
              <w:t>, Vice Chair, NAIC Reinsurance Task Force, Maine Department of Professional and Financial Regulation, Augusta, Maine;</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Robert Graham, Senior Vice President and Assistant General Counsel, General Cologne Re, Stamford, Connecticut; and</w:t>
            </w:r>
          </w:p>
        </w:tc>
      </w:tr>
      <w:tr w:rsidR="006F6658" w:rsidTr="006F6658">
        <w:tc>
          <w:tcPr>
            <w:tcW w:w="95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F6658" w:rsidRDefault="006F6658">
            <w:pPr>
              <w:spacing w:before="100" w:beforeAutospacing="1" w:after="100" w:afterAutospacing="1"/>
              <w:rPr>
                <w:rFonts w:ascii="Times" w:hAnsi="Times" w:cs="Times New Roman"/>
              </w:rPr>
            </w:pPr>
            <w:r>
              <w:rPr>
                <w:rFonts w:cs="Times New Roman"/>
              </w:rPr>
              <w:t xml:space="preserve">-- Mr. Stephen Cane, Chief Executive Officer, </w:t>
            </w:r>
            <w:proofErr w:type="spellStart"/>
            <w:r>
              <w:rPr>
                <w:rFonts w:cs="Times New Roman"/>
              </w:rPr>
              <w:t>Alea</w:t>
            </w:r>
            <w:proofErr w:type="spellEnd"/>
            <w:r>
              <w:rPr>
                <w:rFonts w:cs="Times New Roman"/>
              </w:rPr>
              <w:t xml:space="preserve"> London Limited, London, United Kingdom.</w:t>
            </w:r>
          </w:p>
        </w:tc>
      </w:tr>
    </w:tbl>
    <w:p w:rsidR="006F6658" w:rsidRDefault="006F6658" w:rsidP="006F6658">
      <w:pPr>
        <w:spacing w:before="100" w:beforeAutospacing="1" w:after="100" w:afterAutospacing="1"/>
        <w:rPr>
          <w:rFonts w:cs="Times New Roman"/>
          <w:color w:val="000000"/>
          <w:sz w:val="27"/>
          <w:szCs w:val="27"/>
        </w:rPr>
      </w:pPr>
      <w:r>
        <w:rPr>
          <w:rFonts w:cs="Times New Roman"/>
          <w:color w:val="000000"/>
        </w:rPr>
        <w:t> </w:t>
      </w:r>
    </w:p>
    <w:p w:rsidR="006F6658" w:rsidRDefault="006F6658" w:rsidP="006F6658">
      <w:pPr>
        <w:pStyle w:val="Heading4"/>
        <w:rPr>
          <w:rFonts w:eastAsia="Times New Roman" w:cs="Times New Roman"/>
          <w:color w:val="000000"/>
          <w:sz w:val="27"/>
          <w:szCs w:val="27"/>
        </w:rPr>
      </w:pPr>
      <w:r>
        <w:rPr>
          <w:rFonts w:eastAsia="Times New Roman" w:cs="Times New Roman"/>
          <w:color w:val="000000"/>
        </w:rPr>
        <w:t>MARKET CONDUCT</w:t>
      </w:r>
    </w:p>
    <w:p w:rsidR="006F6658" w:rsidRDefault="006F6658" w:rsidP="006F6658">
      <w:pPr>
        <w:pStyle w:val="BodyText2"/>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The Insurance Legislators Foundation, an educational and research arm of NCOIL, voted to continue its ongoing inquiry into market conduct examination with a hearing during the next NCOIL meeting set for the Hotel Inter-Continental in Chicago, from July 12 through 15, 2001.</w:t>
      </w:r>
    </w:p>
    <w:p w:rsidR="006F6658" w:rsidRDefault="006F6658" w:rsidP="006F6658">
      <w:pPr>
        <w:spacing w:before="100" w:beforeAutospacing="1" w:after="100" w:afterAutospacing="1"/>
        <w:jc w:val="both"/>
        <w:rPr>
          <w:rFonts w:cs="Times New Roman"/>
          <w:color w:val="000000"/>
          <w:sz w:val="27"/>
          <w:szCs w:val="27"/>
        </w:rPr>
      </w:pPr>
      <w:r>
        <w:rPr>
          <w:rFonts w:cs="Times New Roman"/>
          <w:b/>
          <w:bCs/>
          <w:i/>
          <w:iCs/>
          <w:color w:val="000000"/>
        </w:rPr>
        <w:t>     </w:t>
      </w:r>
      <w:r>
        <w:rPr>
          <w:rStyle w:val="apple-converted-space"/>
          <w:rFonts w:cs="Times New Roman"/>
          <w:b/>
          <w:bCs/>
          <w:i/>
          <w:iCs/>
          <w:color w:val="000000"/>
        </w:rPr>
        <w:t> </w:t>
      </w:r>
      <w:r>
        <w:rPr>
          <w:rFonts w:cs="Times New Roman"/>
          <w:b/>
          <w:bCs/>
          <w:i/>
          <w:iCs/>
          <w:color w:val="000000"/>
        </w:rPr>
        <w:t>NCOIL resolutions, model acts, and minutes from the Spring Meeting will be available on the NCOIL Web site at:</w:t>
      </w:r>
      <w:r>
        <w:rPr>
          <w:rStyle w:val="apple-converted-space"/>
          <w:rFonts w:cs="Times New Roman"/>
          <w:b/>
          <w:bCs/>
          <w:i/>
          <w:iCs/>
          <w:color w:val="000000"/>
        </w:rPr>
        <w:t> </w:t>
      </w:r>
      <w:hyperlink r:id="rId5" w:history="1">
        <w:r>
          <w:rPr>
            <w:rStyle w:val="Hyperlink"/>
            <w:rFonts w:cs="Times New Roman"/>
            <w:b/>
            <w:bCs/>
            <w:i/>
            <w:iCs/>
          </w:rPr>
          <w:t>www.ncoil.org</w:t>
        </w:r>
      </w:hyperlink>
      <w:r>
        <w:rPr>
          <w:rStyle w:val="apple-converted-space"/>
          <w:rFonts w:cs="Times New Roman"/>
          <w:b/>
          <w:bCs/>
          <w:i/>
          <w:iCs/>
          <w:color w:val="000000"/>
        </w:rPr>
        <w:t> </w:t>
      </w:r>
      <w:r>
        <w:rPr>
          <w:rFonts w:cs="Times New Roman"/>
          <w:b/>
          <w:bCs/>
          <w:i/>
          <w:iCs/>
          <w:color w:val="000000"/>
        </w:rPr>
        <w:t>by April 13, 2001.</w:t>
      </w:r>
    </w:p>
    <w:p w:rsidR="006F6658" w:rsidRDefault="006F6658" w:rsidP="006F6658">
      <w:pPr>
        <w:spacing w:before="100" w:beforeAutospacing="1" w:after="100" w:afterAutospacing="1"/>
        <w:jc w:val="both"/>
        <w:rPr>
          <w:rFonts w:cs="Times New Roman"/>
          <w:color w:val="000000"/>
          <w:sz w:val="27"/>
          <w:szCs w:val="27"/>
        </w:rPr>
      </w:pPr>
      <w:r>
        <w:rPr>
          <w:rFonts w:cs="Times New Roman"/>
          <w:b/>
          <w:bCs/>
          <w:i/>
          <w:iCs/>
          <w:color w:val="000000"/>
        </w:rPr>
        <w:t>     </w:t>
      </w:r>
      <w:r>
        <w:rPr>
          <w:rStyle w:val="apple-converted-space"/>
          <w:rFonts w:cs="Times New Roman"/>
          <w:b/>
          <w:bCs/>
          <w:i/>
          <w:iCs/>
          <w:color w:val="000000"/>
        </w:rPr>
        <w:t> </w:t>
      </w:r>
      <w:r>
        <w:rPr>
          <w:rFonts w:cs="Times New Roman"/>
          <w:b/>
          <w:bCs/>
          <w:i/>
          <w:iCs/>
          <w:color w:val="000000"/>
        </w:rPr>
        <w:t>If you would like to receive additional information regarding any of the issues discussed above, please contact the NCOIL National Office at (518) 449-3210.</w:t>
      </w:r>
    </w:p>
    <w:p w:rsidR="006F6658" w:rsidRDefault="006F6658" w:rsidP="006F6658">
      <w:pPr>
        <w:spacing w:before="100" w:beforeAutospacing="1" w:after="100" w:afterAutospacing="1"/>
        <w:jc w:val="both"/>
        <w:rPr>
          <w:rFonts w:cs="Times New Roman"/>
          <w:color w:val="000000"/>
          <w:sz w:val="27"/>
          <w:szCs w:val="27"/>
        </w:rPr>
      </w:pPr>
      <w:r>
        <w:rPr>
          <w:rFonts w:cs="Times New Roman"/>
          <w:color w:val="000000"/>
          <w:sz w:val="27"/>
          <w:szCs w:val="27"/>
        </w:rPr>
        <w:t> </w:t>
      </w:r>
    </w:p>
    <w:p w:rsidR="00EF6B9A" w:rsidRPr="00037519" w:rsidRDefault="00EF6B9A" w:rsidP="00037519">
      <w:bookmarkStart w:id="0" w:name="_GoBack"/>
      <w:bookmarkEnd w:id="0"/>
    </w:p>
    <w:sectPr w:rsidR="00EF6B9A" w:rsidRPr="0003751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1A0628"/>
    <w:rsid w:val="00460F37"/>
    <w:rsid w:val="006F6658"/>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rsid w:val="00E9477E"/>
    <w:rPr>
      <w:rFonts w:ascii="Times" w:hAnsi="Times"/>
      <w:sz w:val="20"/>
      <w:szCs w:val="20"/>
    </w:rPr>
  </w:style>
  <w:style w:type="paragraph" w:styleId="BodyText2">
    <w:name w:val="Body Text 2"/>
    <w:basedOn w:val="Normal"/>
    <w:link w:val="BodyText2Char"/>
    <w:uiPriority w:val="99"/>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F665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278145733">
      <w:bodyDiv w:val="1"/>
      <w:marLeft w:val="0"/>
      <w:marRight w:val="0"/>
      <w:marTop w:val="0"/>
      <w:marBottom w:val="0"/>
      <w:divBdr>
        <w:top w:val="none" w:sz="0" w:space="0" w:color="auto"/>
        <w:left w:val="none" w:sz="0" w:space="0" w:color="auto"/>
        <w:bottom w:val="none" w:sz="0" w:space="0" w:color="auto"/>
        <w:right w:val="none" w:sz="0" w:space="0" w:color="auto"/>
      </w:divBdr>
    </w:div>
    <w:div w:id="564608962">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00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oi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8511</Characters>
  <Application>Microsoft Macintosh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2016-03-31T13:46:00Z</dcterms:created>
  <dcterms:modified xsi:type="dcterms:W3CDTF">2016-03-31T13:46:00Z</dcterms:modified>
</cp:coreProperties>
</file>